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8A6F22"/>
          <w:sz w:val="16"/>
          <w:szCs w:val="16"/>
        </w:rPr>
        <w:t xml:space="preserve">RIDER Y CONTRATO · EJEMPLO REFERENCIAL</w:t>
      </w:r>
    </w:p>
    <w:p>
      <w:pPr>
        <w:pStyle w:val="Title"/>
        <w:spacing w:after="80"/>
      </w:pPr>
      <w:r>
        <w:rPr>
          <w:rFonts w:ascii="Palatino Linotype" w:cs="Palatino Linotype" w:eastAsia="Palatino Linotype" w:hAnsi="Palatino Linotype"/>
          <w:b/>
          <w:bCs/>
          <w:sz w:val="48"/>
          <w:szCs w:val="48"/>
        </w:rPr>
        <w:t xml:space="preserve">Ejemplo de rider técnico y stage plot</w:t>
      </w:r>
    </w:p>
    <w:p>
      <w:pPr>
        <w:pBdr>
          <w:bottom w:val="single" w:color="C6A13C" w:sz="12" w:space="6"/>
        </w:pBdr>
        <w:spacing w:after="20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Tomado de 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El ABC del entretenimiento en vivo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, de Jethro Jacob · elabcdelentretenimiento.com</w:t>
      </w:r>
    </w:p>
    <w:p>
      <w:pPr>
        <w:spacing w:after="160"/>
      </w:pPr>
      <w:r>
        <w:rPr>
          <w:rFonts w:ascii="Palatino Linotype" w:cs="Palatino Linotype" w:eastAsia="Palatino Linotype" w:hAnsi="Palatino Linotype"/>
          <w:i/>
          <w:iCs/>
          <w:sz w:val="21"/>
          <w:szCs w:val="21"/>
        </w:rPr>
        <w:t xml:space="preserve">Este ejemplo es referencial. Un rider real se ajusta a la escala del artista, el venue, el país y la producción local. Úsalo como base para entender estructura, lenguaje y nivel de detalle profesional.</w:t>
      </w: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Datos generales y contactos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cantSplit/>
          <w:tblHeader/>
        </w:trPr>
        <w:tc>
          <w:tcPr>
            <w:tcW w:type="dxa" w:w="3024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Campo</w:t>
            </w:r>
          </w:p>
        </w:tc>
        <w:tc>
          <w:tcPr>
            <w:tcW w:type="dxa" w:w="7056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Información de referencia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Artista / Show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Proyecto referencial (banda de seis músicos) — set de 90 min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Fecha / Ciudad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DD/MM/AAAA — Ciudad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Venue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Nombre del recinto — Dirección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Producción del artista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Tour Manager / Producción — Tel / Mail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Producción local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Productor local — Tel / Mail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Audio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FOH + Monitores — Tel / Mail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Iluminación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LD / Operador — Tel / Mail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Stage / Backline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Stage Manager — Tel / Mail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Emergencias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Seguridad / Paramédicos — Tel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Horarios de referencia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cantSplit/>
          <w:tblHeader/>
        </w:trPr>
        <w:tc>
          <w:tcPr>
            <w:tcW w:type="dxa" w:w="3024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Hora</w:t>
            </w:r>
          </w:p>
        </w:tc>
        <w:tc>
          <w:tcPr>
            <w:tcW w:type="dxa" w:w="7056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Actividad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13:00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Load-in / llegada de camión y personal técnico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13:30–16:30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Montaje de escenario, backline, PA, luces y patching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16:30–17:15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Line check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17:30–18:30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Soundcheck / prueba de sonido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19:00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Catering / descanso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20:00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Apertura de puertas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21:00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Showtime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22:30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Fin de show / meet &amp; greet, si aplica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23:00–00:30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Load-out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Técnico — audio (FOH / monitores)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PA profesional acorde al aforo, con cobertura uniforme. Consola digital FOH de 32 canales como mínimo y consola digital de monitores de 24 canales como mínimo, con stagebox de 32 entradas y 16 salidas o capacidad superior. Sistema de comunicación entre FOH, monitores y escenario. Alimentación eléctrica estable, distribución protegida y puesta a tierra verificada. Todo cableado debe quedar canalizado y asegurado.</w:t>
      </w:r>
    </w:p>
    <w:p>
      <w:pPr>
        <w:pStyle w:val="Heading2"/>
        <w:keepNext/>
        <w:spacing w:after="80" w:before="200"/>
      </w:pPr>
      <w:r>
        <w:rPr>
          <w:rFonts w:ascii="Palatino Linotype" w:cs="Palatino Linotype" w:eastAsia="Palatino Linotype" w:hAnsi="Palatino Linotype"/>
          <w:b/>
          <w:bCs/>
          <w:color w:val="11110F"/>
          <w:sz w:val="23"/>
          <w:szCs w:val="23"/>
        </w:rPr>
        <w:t xml:space="preserve">Input list referencial, simplificado por grupos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Bloque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Grupo / Fuente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Mic/DI sugerido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Notas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Batería (kit)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Kick / Snare / Toms / OH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Número real de canales según el kit.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Percusión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2–3 mics dinámicos o condensadores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Congas, timbales u otros según montaje.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3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Teclados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estéreo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Salida L/R.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4–6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Metales / Horns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 dinámico por instrumento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Cantidad según sección.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7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Guitarra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 dinámico / DI si usa modelador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Amp o modelador.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8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Bajo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+ mic opcional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Split si se usa amplificador.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9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lead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 vocal dinámico / RF si aplica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Stand y pop filter si se requiere.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10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BV izquierda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 vocal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Coros.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11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BV derecha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 vocal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Coros.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OPC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Playback / SPD-S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estéreo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Tracks; click a monitores si aplica.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Monitores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Antes de cotizar hay que definir si el monitoreo es por cuña, por in-ear o mixto, porque cambia el número de mezclas, el equipo y el presupuesto. Si el show usa pista con click, ese click necesita una mezcla propia y casi siempre implica in-ear al menos para quien marca el tempo. Y con cualquiera de las tres opciones hace falta un micrófono de talkback entre escenario y monitores: sin él, la única forma de pedir un ajuste durante el show es por señas.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cantSplit/>
          <w:tblHeader/>
        </w:trPr>
        <w:tc>
          <w:tcPr>
            <w:tcW w:type="dxa" w:w="3024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Mezcla</w:t>
            </w:r>
          </w:p>
        </w:tc>
        <w:tc>
          <w:tcPr>
            <w:tcW w:type="dxa" w:w="7056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Quién la usa / posición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M1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1 — frente izquierda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M2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lead — frente centro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M3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Metales — medio centro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M4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2 — frente derecha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M5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Batería — fondo centro (drum fill)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Técnico — iluminación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Consola profesional (MA, Chamsys, Avolites o equivalente). Frontales para rostro, contras para volumen y washes para escena. Hazer, si está permitido. Distribución eléctrica dedicada y operación segura. El diseño final depende del venue y del show.</w:t>
      </w: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Técnico — video (si el show lo usa)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No todos los shows llevan pantalla, y conviene decidirlo antes de cerrar audio e iluminación, porque el video compite con ellos por espacio, energía y puntos de rigging. Si el show usa contenido, el rider debe dejar acordado quién lo entrega y en qué formato, quién opera durante la función, si hay cámaras en vivo y cuántas, y de dónde sale la señal que se proyecta. La superficie, la resolución y el equipo los define el proveedor con quien diseña; lo que no puede quedar sin dueño es quién dispara cada cambio, porque eso vive en el cue sheet y ningún cue sheet funciona si el video llega el día del montaje sin haberse ensayado.</w:t>
      </w: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Hospitalidad / catering / camerinos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cantSplit/>
          <w:tblHeader/>
        </w:trPr>
        <w:tc>
          <w:tcPr>
            <w:tcW w:type="dxa" w:w="3024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Área</w:t>
            </w:r>
          </w:p>
        </w:tc>
        <w:tc>
          <w:tcPr>
            <w:tcW w:type="dxa" w:w="7056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Requerimiento de referencia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Hospitalidad básico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Agua natural suficiente para artistas y crew desde load-in hasta load-out; hielo disponible; café y té; snacks como fruta, barras o frutos secos.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Catering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Comida caliente para 12–16 personas, ajustable, servida entre soundcheck y puertas; opción vegetariana y restricciones notificadas.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Camerinos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Mínimo dos camerinos: artistas y crew. Espejos, buena iluminación, ventilación o A/C, contactos, mesa, sillas, basura y limpieza previa.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Toallas e higiene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Toallas limpias, jabón, papel, sanitarios funcionales y reposición durante la jornada.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Acceso y seguridad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Backstage controlado, acreditaciones y responsable del venue asignado a producción durante montaje, show y salida.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Logística / viajes / hospedaje / viáticos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Como criterio referencial de esta plantilla, una distancia terrestre superior a 700 km obliga a comparar el traslado por carretera con la opción aérea. La decisión no depende solo del kilometraje: debe considerar duración real, descansos reglamentarios, clima, estado de las rutas, equipaje, instrumentos, presupuesto y el margen disponible antes del montaje. El objetivo es que el equipo clave llegue en condiciones de trabajar con seguridad.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Para el transporte terrestre local, confirma una van o sprinter para los artistas y otra unidad para el crew, ambas con espacio real para los instrumentos. Verifica también que haya un chofer profesional y que estén definidos los traslados entre aeropuerto, hotel y venue, con sus rutas y horarios. En trayectos largos, considera dos choferes, paradas programadas y una llegada con margen suficiente antes del montaje.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El hospedaje debe prever una llegada anticipada o una salida posterior si el itinerario lo exige. Define habitaciones, desayuno, late check-out, viáticos, comprobación de gastos y necesidades migratorias o permisos de trabajo, si aplican. Producción local debe confirmar la póliza de responsabilidad civil del venue y las condiciones de resguardo de equipo e instrumentos.</w:t>
      </w: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Cláusulas / validación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Toda sustitución técnica debe validarse por escrito con producción antes del día del show. Si el venue no puede cumplir un punto crítico, la solución se define con tiempo y mediante alternativas equivalentes. El rider busca proteger la calidad, la seguridad y la consistencia del espectáculo.</w:t>
      </w:r>
    </w:p>
    <w:p>
      <w:pPr>
        <w:pStyle w:val="Heading1"/>
        <w:keepNext/>
        <w:pageBreakBefore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Plantilla: patch list / input 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blHeader/>
        </w:trPr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CH</w:t>
            </w:r>
          </w:p>
        </w:tc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Fuente</w:t>
            </w:r>
          </w:p>
        </w:tc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Mic / DI</w:t>
            </w:r>
          </w:p>
        </w:tc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Base</w:t>
            </w:r>
          </w:p>
        </w:tc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+48V</w:t>
            </w:r>
          </w:p>
        </w:tc>
        <w:tc>
          <w:tcPr>
            <w:tcW w:type="dxa" w:w="168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Notas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Bombo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Dentro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Tarola arriba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3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Tarola abajo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Fase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4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Hi-hat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5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Tom 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6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Tom 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7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Tom de piso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8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Overhead L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Par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9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Overhead R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Par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10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Congas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Timbales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Percusión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Varios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13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Teclado L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Estéreo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14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Teclado R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Estéreo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15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Trompeta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16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Saxofón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17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Trombón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Pinza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18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Guitarra amp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19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Guitarra DI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Si usa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20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Bajo DI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Bajo amp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lead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Vocal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 RF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23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Vocal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24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Vocal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25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Playback L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Pista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26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Playback R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Pista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27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Click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 activa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 IEM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28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Talkback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Dinámico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Corto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 MON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29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spare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Vocal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Reserva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30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Ambiente L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Registro</w:t>
            </w:r>
          </w:p>
        </w:tc>
      </w:tr>
      <w:tr>
        <w:trPr>
          <w:cantSplit/>
          <w:tblHeader w:val="false"/>
        </w:trPr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31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Ambiente R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Cond.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Largo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Sí</w:t>
            </w:r>
          </w:p>
        </w:tc>
        <w:tc>
          <w:tcPr>
            <w:tcW w:type="dxa" w:w="1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Registro</w:t>
            </w:r>
          </w:p>
        </w:tc>
      </w:tr>
      <w:tr>
        <w:trPr>
          <w:cantSplit/>
          <w:tblHeader w:val="false"/>
        </w:trPr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32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Reserva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—</w:t>
            </w:r>
          </w:p>
        </w:tc>
        <w:tc>
          <w:tcPr>
            <w:tcW w:type="dxa" w:w="168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Libre</w:t>
            </w:r>
          </w:p>
        </w:tc>
      </w:tr>
    </w:tbl>
    <w:p>
      <w:pPr>
        <w:spacing w:after="60"/>
      </w:pPr>
    </w:p>
    <w:p>
      <w:pPr>
        <w:pStyle w:val="Heading1"/>
        <w:keepNext/>
        <w:pageBreakBefore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Plantilla: stage plot básico — texto/grid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Esta plantilla no reemplaza un dibujo técnico, pero sirve como base para definir posiciones y necesidades con rapidez.</w:t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Los lados se nombran desde la posición del músico mirando al público: el lado izquierdo del plano es el izquierdo del artista, no el del espectador. Decláralo siempre en el documento. Es la causa más común de un montaje espejado, y se descubre cuando ya está todo cableado.</w:t>
      </w:r>
    </w:p>
    <w:p>
      <w:pPr>
        <w:pStyle w:val="Heading2"/>
        <w:keepNext/>
        <w:spacing w:after="80" w:before="200"/>
      </w:pPr>
      <w:r>
        <w:rPr>
          <w:rFonts w:ascii="Palatino Linotype" w:cs="Palatino Linotype" w:eastAsia="Palatino Linotype" w:hAnsi="Palatino Linotype"/>
          <w:b/>
          <w:bCs/>
          <w:color w:val="11110F"/>
          <w:sz w:val="23"/>
          <w:szCs w:val="23"/>
        </w:rPr>
        <w:t xml:space="preserve">Ejemplo referencial de stage plot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Zona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Lado izq.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Centro</w:t>
            </w:r>
          </w:p>
        </w:tc>
        <w:tc>
          <w:tcPr>
            <w:tcW w:type="dxa" w:w="2520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Lado der.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Fondo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Percusión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Batería en riser · M5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Teclados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Medio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Guitarra y amp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Metales · M3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Bajo y amp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Frente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1 · M1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lead · M2 / IEM</w:t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Coro 2 · M4</w:t>
            </w:r>
          </w:p>
        </w:tc>
      </w:tr>
      <w:tr>
        <w:trPr>
          <w:cantSplit/>
          <w:tblHeader w:val="false"/>
        </w:trPr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Notas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Acceso lateral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Riser 2.4 × 1.8 m</w:t>
            </w:r>
          </w:p>
        </w:tc>
        <w:tc>
          <w:tcPr>
            <w:tcW w:type="dxa" w:w="2520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Rampa y paso</w:t>
            </w:r>
          </w:p>
        </w:tc>
      </w:tr>
    </w:tbl>
    <w:p>
      <w:pPr>
        <w:spacing w:after="60"/>
      </w:pPr>
    </w:p>
    <w:p>
      <w:pPr>
        <w:pageBreakBefore/>
        <w:jc w:val="center"/>
      </w:pPr>
      <w:r>
        <w:drawing>
          <wp:inline distT="0" distB="0" distL="0" distR="0">
            <wp:extent cx="6553200" cy="7496175"/>
            <wp:effectExtent t="0" r="0" b="0" l="0"/>
            <wp:docPr id="1" name="stageplot" descr="Stage plot de ejemplo del libro" title="Stage plot de ejemp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Palatino Linotype" w:cs="Palatino Linotype" w:eastAsia="Palatino Linotype" w:hAnsi="Palatino Linotype"/>
          <w:sz w:val="21"/>
          <w:szCs w:val="21"/>
        </w:rPr>
        <w:t xml:space="preserve">Plano de referencia del mismo proyecto que usan el rider ejemplo, el patch list y el run of show: banda de seis, treinta y dos canales y monitoreo mixto. Las medidas y las posiciones cambian con cada show; lo que no cambia es que el plano debe poder montarse sin preguntas.</w:t>
      </w:r>
    </w:p>
    <w:p>
      <w:pPr>
        <w:pStyle w:val="Heading1"/>
        <w:keepNext/>
        <w:spacing w:after="100" w:before="280"/>
      </w:pPr>
      <w:r>
        <w:rPr>
          <w:rFonts w:ascii="Palatino Linotype" w:cs="Palatino Linotype" w:eastAsia="Palatino Linotype" w:hAnsi="Palatino Linotype"/>
          <w:b/>
          <w:bCs/>
          <w:color w:val="11110F"/>
          <w:sz w:val="28"/>
          <w:szCs w:val="28"/>
        </w:rPr>
        <w:t xml:space="preserve">Leyenda — stage plot / rider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cantSplit/>
          <w:tblHeader/>
        </w:trPr>
        <w:tc>
          <w:tcPr>
            <w:tcW w:type="dxa" w:w="3024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Abreviatura</w:t>
            </w:r>
          </w:p>
        </w:tc>
        <w:tc>
          <w:tcPr>
            <w:tcW w:type="dxa" w:w="7056"/>
            <w:shd w:fill="11110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AF9F6"/>
                <w:sz w:val="17"/>
                <w:szCs w:val="17"/>
              </w:rPr>
              <w:t xml:space="preserve">Significado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(1), (2)…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Orden sugerido de inputs/canales según el input list.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FOH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Front of House: mezcla principal hacia PA.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MON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Monitores: mezcla para escenario.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PA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Sistema principal de refuerzo sonoro.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M1–M5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Monitores (wedges) numerados en downstage.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BV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Backing vocals / coros.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LEAD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Voz principal.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GTR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Guitarra.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BASS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Bajo.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KEYS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Teclados.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DRUMS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Batería.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PERC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Percusiones.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SPD-S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Playback / pads / secuencias.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PAX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Número de personas para logística y catering.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DI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Caja directa.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IEM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In-ear monitors.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RF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Radiofrecuencia.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SPL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Nivel de presión sonora.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Stagebox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Caja de escenario / snake digital o analógico.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Talkback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Micrófono de comunicación entre FOH, monitores y escenario.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Riser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Tarima, por ejemplo para batería.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Rigging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Puntos de carga o colgado.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Hazer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Neblina para volumen de luz.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Load-in / Load-out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Entrada de equipo / salida de equipo.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Line check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Verificación rápida de señal por canal.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Soundcheck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Prueba completa de audio con músicos.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PM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Production Manager: coordinación integral de la ejecución técnica y operativa.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SM</w:t>
            </w:r>
          </w:p>
        </w:tc>
        <w:tc>
          <w:tcPr>
            <w:tcW w:type="dxa" w:w="7056"/>
            <w:shd w:fill="F0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Stage Manager: coordinación de escenario, accesos, cambios y preparación de cues.</w:t>
            </w:r>
          </w:p>
        </w:tc>
      </w:tr>
      <w:tr>
        <w:trPr>
          <w:cantSplit/>
          <w:tblHeader w:val="false"/>
        </w:trPr>
        <w:tc>
          <w:tcPr>
            <w:tcW w:type="dxa" w:w="30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LD</w:t>
            </w:r>
          </w:p>
        </w:tc>
        <w:tc>
          <w:tcPr>
            <w:tcW w:type="dxa" w:w="70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0F"/>
                <w:sz w:val="17"/>
                <w:szCs w:val="17"/>
              </w:rPr>
              <w:t xml:space="preserve">Lighting Designer: diseño o dirección de iluminación; puede ser distinto del operador de consola.</w:t>
            </w:r>
          </w:p>
        </w:tc>
      </w:tr>
    </w:tbl>
    <w:p>
      <w:pPr>
        <w:spacing w:after="60"/>
      </w:pPr>
    </w:p>
    <w:p>
      <w:pPr>
        <w:pBdr>
          <w:top w:val="single" w:color="C6A13C" w:sz="12" w:space="6"/>
        </w:pBdr>
        <w:spacing w:before="3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El ABC del entretenimiento en vivo</w:t>
      </w:r>
      <w:r>
        <w:rPr>
          <w:rFonts w:ascii="Arial" w:cs="Arial" w:eastAsia="Arial" w:hAnsi="Arial"/>
          <w:sz w:val="18"/>
          <w:szCs w:val="18"/>
        </w:rPr>
        <w:t xml:space="preserve"> — Jethro Jacob. El libro completo, con sus 46 anexos operativos y el glosario, en elabcdelentretenimiento.com/libro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77777"/>
        <w:sz w:val="14"/>
        <w:szCs w:val="14"/>
      </w:rPr>
      <w:t xml:space="preserve">El ABC del entretenimiento en vivo · elabcdelentretenimiento.com    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c6e52962f06553ade521a20707daaa40a2d86f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rider técnico y stage plot</dc:title>
  <dc:creator>Jethro Jacob</dc:creator>
  <cp:lastModifiedBy>Un-named</cp:lastModifiedBy>
  <cp:revision>1</cp:revision>
  <dcterms:created xsi:type="dcterms:W3CDTF">2026-10-02T03:20:57.026Z</dcterms:created>
  <dcterms:modified xsi:type="dcterms:W3CDTF">2026-10-02T03:20:57.026Z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